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35ACA88F" w:rsidR="002E70F6" w:rsidRPr="004930BD" w:rsidRDefault="003040E8" w:rsidP="004930BD">
      <w:pPr>
        <w:jc w:val="center"/>
        <w:rPr>
          <w:rFonts w:ascii="Arial MT"/>
          <w:sz w:val="55"/>
        </w:rPr>
      </w:pPr>
      <w:r>
        <w:rPr>
          <w:rFonts w:ascii="Arial MT"/>
          <w:sz w:val="55"/>
        </w:rPr>
        <w:t>0</w:t>
      </w:r>
      <w:r w:rsidR="007A4523">
        <w:rPr>
          <w:rFonts w:ascii="Arial MT"/>
          <w:sz w:val="55"/>
        </w:rPr>
        <w:t>4</w:t>
      </w:r>
      <w:r w:rsidR="001E3AA7">
        <w:rPr>
          <w:rFonts w:ascii="Arial MT"/>
          <w:sz w:val="55"/>
        </w:rPr>
        <w:t>-</w:t>
      </w:r>
      <w:r w:rsidR="004B64E0">
        <w:rPr>
          <w:rFonts w:ascii="Arial MT"/>
          <w:sz w:val="55"/>
        </w:rPr>
        <w:t>10</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78263A19" w:rsidR="004B161D" w:rsidRPr="007F4111" w:rsidRDefault="007A4523" w:rsidP="004B161D">
                            <w:r>
                              <w:rPr>
                                <w:b/>
                                <w:bCs/>
                              </w:rPr>
                              <w:t>GBP/USD</w:t>
                            </w:r>
                            <w:r w:rsidR="0019062E">
                              <w:rPr>
                                <w:b/>
                                <w:bCs/>
                              </w:rPr>
                              <w:t xml:space="preserve">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15837">
                              <w:t>.3141</w:t>
                            </w:r>
                          </w:p>
                          <w:p w14:paraId="1F877955" w14:textId="249ED7AC" w:rsidR="00D74695" w:rsidRDefault="007A4523"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15837">
                              <w:t>.3141, 0.21% up</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EF337A" w:rsidRPr="00EF337A">
                              <w:t xml:space="preserve"> </w:t>
                            </w:r>
                            <w:r w:rsidR="00EF337A" w:rsidRPr="00EF337A">
                              <w:t xml:space="preserve">The pair rises to about 1.3150. However, the additional gain now looks illusive as traders wait for the eagerly awaited US </w:t>
                            </w:r>
                            <w:r w:rsidR="00EF337A">
                              <w:t xml:space="preserve">NFP </w:t>
                            </w:r>
                            <w:r w:rsidR="00EF337A" w:rsidRPr="00EF337A">
                              <w:t>report to provide new clues regarding the Fed's interest rate stance.  Although the pair may struggle to stage a significant retreat, the short-term technical picture indicates that conditions are oversold. Positive trade is occurring between the pairs. 1.3088 is the closest support on the downside and 1.3088 is the closest resistance.</w:t>
                            </w:r>
                          </w:p>
                          <w:p w14:paraId="03788C8D" w14:textId="0E91C373" w:rsidR="00774FFC" w:rsidRPr="00D74695" w:rsidRDefault="005919DC" w:rsidP="00EF337A">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B31032">
                              <w:rPr>
                                <w:b/>
                                <w:color w:val="2C67B1"/>
                              </w:rPr>
                              <w:t>.3269-1.3393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15837">
                              <w:rPr>
                                <w:b/>
                                <w:color w:val="2C67B1"/>
                              </w:rPr>
                              <w:t xml:space="preserve">.3164 </w:t>
                            </w:r>
                            <w:r w:rsidR="00774FFC" w:rsidRPr="005919DC">
                              <w:rPr>
                                <w:b/>
                                <w:color w:val="2C67B1"/>
                              </w:rPr>
                              <w:t>Support</w:t>
                            </w:r>
                            <w:r w:rsidR="00E53684" w:rsidRPr="005919DC">
                              <w:rPr>
                                <w:b/>
                                <w:color w:val="2C67B1"/>
                              </w:rPr>
                              <w:t>–</w:t>
                            </w:r>
                            <w:r w:rsidR="000679C1">
                              <w:rPr>
                                <w:b/>
                                <w:color w:val="2C67B1"/>
                              </w:rPr>
                              <w:t>1</w:t>
                            </w:r>
                            <w:r w:rsidR="00B31032">
                              <w:rPr>
                                <w:b/>
                                <w:color w:val="2C67B1"/>
                              </w:rPr>
                              <w:t>.3088-1.2999</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142257" w:rsidRPr="0066776E">
                              <w:rPr>
                                <w:b/>
                                <w:bCs/>
                                <w:color w:val="FF0000"/>
                              </w:rPr>
                              <w:t>Bearish</w:t>
                            </w:r>
                          </w:p>
                          <w:p w14:paraId="1F374876" w14:textId="77777777" w:rsidR="00774FFC" w:rsidRPr="000C60A4" w:rsidRDefault="00774FFC" w:rsidP="00EF337A">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78263A19" w:rsidR="004B161D" w:rsidRPr="007F4111" w:rsidRDefault="007A4523" w:rsidP="004B161D">
                      <w:r>
                        <w:rPr>
                          <w:b/>
                          <w:bCs/>
                        </w:rPr>
                        <w:t>GBP/USD</w:t>
                      </w:r>
                      <w:r w:rsidR="0019062E">
                        <w:rPr>
                          <w:b/>
                          <w:bCs/>
                        </w:rPr>
                        <w:t xml:space="preserve">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15837">
                        <w:t>.3141</w:t>
                      </w:r>
                    </w:p>
                    <w:p w14:paraId="1F877955" w14:textId="249ED7AC" w:rsidR="00D74695" w:rsidRDefault="007A4523"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15837">
                        <w:t>.3141, 0.21% up</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EF337A" w:rsidRPr="00EF337A">
                        <w:t xml:space="preserve"> </w:t>
                      </w:r>
                      <w:r w:rsidR="00EF337A" w:rsidRPr="00EF337A">
                        <w:t xml:space="preserve">The pair rises to about 1.3150. However, the additional gain now looks illusive as traders wait for the eagerly awaited US </w:t>
                      </w:r>
                      <w:r w:rsidR="00EF337A">
                        <w:t xml:space="preserve">NFP </w:t>
                      </w:r>
                      <w:r w:rsidR="00EF337A" w:rsidRPr="00EF337A">
                        <w:t>report to provide new clues regarding the Fed's interest rate stance.  Although the pair may struggle to stage a significant retreat, the short-term technical picture indicates that conditions are oversold. Positive trade is occurring between the pairs. 1.3088 is the closest support on the downside and 1.3088 is the closest resistance.</w:t>
                      </w:r>
                    </w:p>
                    <w:p w14:paraId="03788C8D" w14:textId="0E91C373" w:rsidR="00774FFC" w:rsidRPr="00D74695" w:rsidRDefault="005919DC" w:rsidP="00EF337A">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B31032">
                        <w:rPr>
                          <w:b/>
                          <w:color w:val="2C67B1"/>
                        </w:rPr>
                        <w:t>.3269-1.3393</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15837">
                        <w:rPr>
                          <w:b/>
                          <w:color w:val="2C67B1"/>
                        </w:rPr>
                        <w:t xml:space="preserve">.3164 </w:t>
                      </w:r>
                      <w:r w:rsidR="00774FFC" w:rsidRPr="005919DC">
                        <w:rPr>
                          <w:b/>
                          <w:color w:val="2C67B1"/>
                        </w:rPr>
                        <w:t>Support</w:t>
                      </w:r>
                      <w:r w:rsidR="00E53684" w:rsidRPr="005919DC">
                        <w:rPr>
                          <w:b/>
                          <w:color w:val="2C67B1"/>
                        </w:rPr>
                        <w:t>–</w:t>
                      </w:r>
                      <w:r w:rsidR="000679C1">
                        <w:rPr>
                          <w:b/>
                          <w:color w:val="2C67B1"/>
                        </w:rPr>
                        <w:t>1</w:t>
                      </w:r>
                      <w:r w:rsidR="00B31032">
                        <w:rPr>
                          <w:b/>
                          <w:color w:val="2C67B1"/>
                        </w:rPr>
                        <w:t>.3088-1.2999</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142257" w:rsidRPr="0066776E">
                        <w:rPr>
                          <w:b/>
                          <w:bCs/>
                          <w:color w:val="FF0000"/>
                        </w:rPr>
                        <w:t>Bearish</w:t>
                      </w:r>
                    </w:p>
                    <w:p w14:paraId="1F374876" w14:textId="77777777" w:rsidR="00774FFC" w:rsidRPr="000C60A4" w:rsidRDefault="00774FFC" w:rsidP="00EF337A">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18988726" w:rsidR="002F59BA" w:rsidRDefault="00B31032">
                            <w:r>
                              <w:rPr>
                                <w:noProof/>
                              </w:rPr>
                              <w:drawing>
                                <wp:inline distT="0" distB="0" distL="0" distR="0" wp14:anchorId="2E8588C9" wp14:editId="0687C2E2">
                                  <wp:extent cx="3087370" cy="2661314"/>
                                  <wp:effectExtent l="0" t="0" r="0" b="5715"/>
                                  <wp:docPr id="10872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0136" name=""/>
                                          <pic:cNvPicPr/>
                                        </pic:nvPicPr>
                                        <pic:blipFill>
                                          <a:blip r:embed="rId7"/>
                                          <a:stretch>
                                            <a:fillRect/>
                                          </a:stretch>
                                        </pic:blipFill>
                                        <pic:spPr>
                                          <a:xfrm>
                                            <a:off x="0" y="0"/>
                                            <a:ext cx="3097654" cy="26701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18988726" w:rsidR="002F59BA" w:rsidRDefault="00B31032">
                      <w:r>
                        <w:rPr>
                          <w:noProof/>
                        </w:rPr>
                        <w:drawing>
                          <wp:inline distT="0" distB="0" distL="0" distR="0" wp14:anchorId="2E8588C9" wp14:editId="0687C2E2">
                            <wp:extent cx="3087370" cy="2661314"/>
                            <wp:effectExtent l="0" t="0" r="0" b="5715"/>
                            <wp:docPr id="10872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0136" name=""/>
                                    <pic:cNvPicPr/>
                                  </pic:nvPicPr>
                                  <pic:blipFill>
                                    <a:blip r:embed="rId7"/>
                                    <a:stretch>
                                      <a:fillRect/>
                                    </a:stretch>
                                  </pic:blipFill>
                                  <pic:spPr>
                                    <a:xfrm>
                                      <a:off x="0" y="0"/>
                                      <a:ext cx="3097654" cy="2670179"/>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0DE277F2" w:rsidR="007F4111" w:rsidRDefault="00B31032" w:rsidP="007F4111">
                            <w:r>
                              <w:rPr>
                                <w:noProof/>
                              </w:rPr>
                              <w:drawing>
                                <wp:inline distT="0" distB="0" distL="0" distR="0" wp14:anchorId="44203709" wp14:editId="05BE719C">
                                  <wp:extent cx="3087370" cy="2654489"/>
                                  <wp:effectExtent l="0" t="0" r="0" b="0"/>
                                  <wp:docPr id="1763890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90667" name=""/>
                                          <pic:cNvPicPr/>
                                        </pic:nvPicPr>
                                        <pic:blipFill>
                                          <a:blip r:embed="rId8"/>
                                          <a:stretch>
                                            <a:fillRect/>
                                          </a:stretch>
                                        </pic:blipFill>
                                        <pic:spPr>
                                          <a:xfrm>
                                            <a:off x="0" y="0"/>
                                            <a:ext cx="3095866" cy="26617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0DE277F2" w:rsidR="007F4111" w:rsidRDefault="00B31032" w:rsidP="007F4111">
                      <w:r>
                        <w:rPr>
                          <w:noProof/>
                        </w:rPr>
                        <w:drawing>
                          <wp:inline distT="0" distB="0" distL="0" distR="0" wp14:anchorId="44203709" wp14:editId="05BE719C">
                            <wp:extent cx="3087370" cy="2654489"/>
                            <wp:effectExtent l="0" t="0" r="0" b="0"/>
                            <wp:docPr id="1763890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90667" name=""/>
                                    <pic:cNvPicPr/>
                                  </pic:nvPicPr>
                                  <pic:blipFill>
                                    <a:blip r:embed="rId8"/>
                                    <a:stretch>
                                      <a:fillRect/>
                                    </a:stretch>
                                  </pic:blipFill>
                                  <pic:spPr>
                                    <a:xfrm>
                                      <a:off x="0" y="0"/>
                                      <a:ext cx="3095866" cy="2661794"/>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72F487A2" w:rsidR="007F4111" w:rsidRDefault="00B31032" w:rsidP="007F4111">
                            <w:r>
                              <w:rPr>
                                <w:noProof/>
                              </w:rPr>
                              <w:drawing>
                                <wp:inline distT="0" distB="0" distL="0" distR="0" wp14:anchorId="2A0454E7" wp14:editId="342FBDD1">
                                  <wp:extent cx="3087370" cy="2661313"/>
                                  <wp:effectExtent l="0" t="0" r="0" b="5715"/>
                                  <wp:docPr id="26201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10618" name=""/>
                                          <pic:cNvPicPr/>
                                        </pic:nvPicPr>
                                        <pic:blipFill>
                                          <a:blip r:embed="rId9"/>
                                          <a:stretch>
                                            <a:fillRect/>
                                          </a:stretch>
                                        </pic:blipFill>
                                        <pic:spPr>
                                          <a:xfrm>
                                            <a:off x="0" y="0"/>
                                            <a:ext cx="3096261" cy="26689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72F487A2" w:rsidR="007F4111" w:rsidRDefault="00B31032" w:rsidP="007F4111">
                      <w:r>
                        <w:rPr>
                          <w:noProof/>
                        </w:rPr>
                        <w:drawing>
                          <wp:inline distT="0" distB="0" distL="0" distR="0" wp14:anchorId="2A0454E7" wp14:editId="342FBDD1">
                            <wp:extent cx="3087370" cy="2661313"/>
                            <wp:effectExtent l="0" t="0" r="0" b="5715"/>
                            <wp:docPr id="26201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10618" name=""/>
                                    <pic:cNvPicPr/>
                                  </pic:nvPicPr>
                                  <pic:blipFill>
                                    <a:blip r:embed="rId9"/>
                                    <a:stretch>
                                      <a:fillRect/>
                                    </a:stretch>
                                  </pic:blipFill>
                                  <pic:spPr>
                                    <a:xfrm>
                                      <a:off x="0" y="0"/>
                                      <a:ext cx="3096261" cy="2668977"/>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157885D6"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715837">
                              <w:t>1031</w:t>
                            </w:r>
                          </w:p>
                          <w:p w14:paraId="4D266D7B" w14:textId="74F1F84E"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FD0550">
                              <w:rPr>
                                <w:lang w:eastAsia="en-IN"/>
                              </w:rPr>
                              <w:t>0</w:t>
                            </w:r>
                            <w:r w:rsidR="00720E0B">
                              <w:rPr>
                                <w:lang w:eastAsia="en-IN"/>
                              </w:rPr>
                              <w:t>3</w:t>
                            </w:r>
                            <w:r w:rsidR="00715837">
                              <w:rPr>
                                <w:lang w:eastAsia="en-IN"/>
                              </w:rPr>
                              <w:t>1, 0.02%</w:t>
                            </w:r>
                            <w:r w:rsidR="00720E0B">
                              <w:rPr>
                                <w:lang w:eastAsia="en-IN"/>
                              </w:rPr>
                              <w:t xml:space="preserve">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870AC2" w:rsidRPr="00870AC2">
                              <w:t xml:space="preserve">In the European morning on Friday, the </w:t>
                            </w:r>
                            <w:r w:rsidR="00870AC2">
                              <w:t>pairs R</w:t>
                            </w:r>
                            <w:r w:rsidR="00870AC2" w:rsidRPr="00870AC2">
                              <w:t>emains defensive below 1.1050. As traders avoid making new wagers ahead of the important US</w:t>
                            </w:r>
                            <w:r w:rsidR="00870AC2">
                              <w:t xml:space="preserve"> NFP data</w:t>
                            </w:r>
                            <w:r w:rsidR="00870AC2" w:rsidRPr="00870AC2">
                              <w:t>, the pair lacks a clear directional momentum. ECB-speak is still the major focus. More rate cuts could occur as early as this month, according to recent data on Eurozone inflation. A gap down opening indicates a bearish trend, based on daily chart analysis. When looking down, 1.1003 is the nearest support.</w:t>
                            </w:r>
                          </w:p>
                          <w:p w14:paraId="22860E78" w14:textId="16EB553F"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B31032">
                              <w:rPr>
                                <w:b/>
                                <w:color w:val="2C67B1"/>
                              </w:rPr>
                              <w:t>088-1.1143</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720E0B">
                              <w:rPr>
                                <w:b/>
                                <w:color w:val="2C67B1"/>
                              </w:rPr>
                              <w:t>0</w:t>
                            </w:r>
                            <w:r w:rsidR="00715837">
                              <w:rPr>
                                <w:b/>
                                <w:color w:val="2C67B1"/>
                              </w:rPr>
                              <w:t>29</w:t>
                            </w:r>
                          </w:p>
                          <w:p w14:paraId="1DDC270B" w14:textId="269CCE36"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D70D7E">
                              <w:rPr>
                                <w:b/>
                                <w:color w:val="2C67B1"/>
                              </w:rPr>
                              <w:t>0</w:t>
                            </w:r>
                            <w:r w:rsidR="00A87D57">
                              <w:rPr>
                                <w:b/>
                                <w:color w:val="2C67B1"/>
                              </w:rPr>
                              <w:t>0</w:t>
                            </w:r>
                            <w:r w:rsidR="00B31032">
                              <w:rPr>
                                <w:b/>
                                <w:color w:val="2C67B1"/>
                              </w:rPr>
                              <w:t>3-1.0947</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157885D6"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715837">
                        <w:t>1031</w:t>
                      </w:r>
                    </w:p>
                    <w:p w14:paraId="4D266D7B" w14:textId="74F1F84E"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FD0550">
                        <w:rPr>
                          <w:lang w:eastAsia="en-IN"/>
                        </w:rPr>
                        <w:t>0</w:t>
                      </w:r>
                      <w:r w:rsidR="00720E0B">
                        <w:rPr>
                          <w:lang w:eastAsia="en-IN"/>
                        </w:rPr>
                        <w:t>3</w:t>
                      </w:r>
                      <w:r w:rsidR="00715837">
                        <w:rPr>
                          <w:lang w:eastAsia="en-IN"/>
                        </w:rPr>
                        <w:t>1, 0.02%</w:t>
                      </w:r>
                      <w:r w:rsidR="00720E0B">
                        <w:rPr>
                          <w:lang w:eastAsia="en-IN"/>
                        </w:rPr>
                        <w:t xml:space="preserve"> down</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870AC2" w:rsidRPr="00870AC2">
                        <w:t xml:space="preserve">In the European morning on Friday, the </w:t>
                      </w:r>
                      <w:r w:rsidR="00870AC2">
                        <w:t>pairs R</w:t>
                      </w:r>
                      <w:r w:rsidR="00870AC2" w:rsidRPr="00870AC2">
                        <w:t>emains defensive below 1.1050. As traders avoid making new wagers ahead of the important US</w:t>
                      </w:r>
                      <w:r w:rsidR="00870AC2">
                        <w:t xml:space="preserve"> NFP data</w:t>
                      </w:r>
                      <w:r w:rsidR="00870AC2" w:rsidRPr="00870AC2">
                        <w:t>, the pair lacks a clear directional momentum. ECB-speak is still the major focus. More rate cuts could occur as early as this month, according to recent data on Eurozone inflation. A gap down opening indicates a bearish trend, based on daily chart analysis. When looking down, 1.1003 is the nearest support.</w:t>
                      </w:r>
                    </w:p>
                    <w:p w14:paraId="22860E78" w14:textId="16EB553F"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B31032">
                        <w:rPr>
                          <w:b/>
                          <w:color w:val="2C67B1"/>
                        </w:rPr>
                        <w:t>088-1.1143</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720E0B">
                        <w:rPr>
                          <w:b/>
                          <w:color w:val="2C67B1"/>
                        </w:rPr>
                        <w:t>0</w:t>
                      </w:r>
                      <w:r w:rsidR="00715837">
                        <w:rPr>
                          <w:b/>
                          <w:color w:val="2C67B1"/>
                        </w:rPr>
                        <w:t>29</w:t>
                      </w:r>
                    </w:p>
                    <w:p w14:paraId="1DDC270B" w14:textId="269CCE36"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D70D7E">
                        <w:rPr>
                          <w:b/>
                          <w:color w:val="2C67B1"/>
                        </w:rPr>
                        <w:t>0</w:t>
                      </w:r>
                      <w:r w:rsidR="00A87D57">
                        <w:rPr>
                          <w:b/>
                          <w:color w:val="2C67B1"/>
                        </w:rPr>
                        <w:t>0</w:t>
                      </w:r>
                      <w:r w:rsidR="00B31032">
                        <w:rPr>
                          <w:b/>
                          <w:color w:val="2C67B1"/>
                        </w:rPr>
                        <w:t>3-1.0947</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24B734D3" w:rsidR="007F4111" w:rsidRPr="006A74FA" w:rsidRDefault="00F74BC1" w:rsidP="007F4111">
                            <w:pPr>
                              <w:rPr>
                                <w:b/>
                                <w:bCs/>
                              </w:rPr>
                            </w:pPr>
                            <w:r>
                              <w:rPr>
                                <w:b/>
                                <w:bCs/>
                              </w:rPr>
                              <w:t>US</w:t>
                            </w:r>
                            <w:r w:rsidR="007A4523">
                              <w:rPr>
                                <w:b/>
                                <w:bCs/>
                              </w:rPr>
                              <w:t>10</w:t>
                            </w:r>
                            <w:r w:rsidR="0019062E">
                              <w:rPr>
                                <w:b/>
                                <w:bCs/>
                              </w:rPr>
                              <w:t xml:space="preserve">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715837">
                              <w:rPr>
                                <w:sz w:val="20"/>
                                <w:szCs w:val="20"/>
                              </w:rPr>
                              <w:t>19821</w:t>
                            </w:r>
                          </w:p>
                          <w:p w14:paraId="256A8522" w14:textId="4B3313EF" w:rsidR="00E8105F" w:rsidRDefault="00F74BC1" w:rsidP="00703D60">
                            <w:pPr>
                              <w:jc w:val="both"/>
                            </w:pPr>
                            <w:r>
                              <w:rPr>
                                <w:lang w:eastAsia="en-IN"/>
                              </w:rPr>
                              <w:t>US</w:t>
                            </w:r>
                            <w:r w:rsidR="007A4523">
                              <w:rPr>
                                <w:lang w:eastAsia="en-IN"/>
                              </w:rPr>
                              <w:t>10</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715837">
                              <w:rPr>
                                <w:lang w:eastAsia="en-IN"/>
                              </w:rPr>
                              <w:t>19821, 0.24%</w:t>
                            </w:r>
                            <w:r w:rsidR="00FD0550">
                              <w:rPr>
                                <w:lang w:eastAsia="en-IN"/>
                              </w:rPr>
                              <w:t xml:space="preserve"> </w:t>
                            </w:r>
                            <w:r w:rsidR="00715837">
                              <w:rPr>
                                <w:lang w:eastAsia="en-IN"/>
                              </w:rPr>
                              <w:t>up</w:t>
                            </w:r>
                            <w:r w:rsidR="00C77024">
                              <w:rPr>
                                <w:lang w:eastAsia="en-IN"/>
                              </w:rPr>
                              <w:t xml:space="preserve"> s</w:t>
                            </w:r>
                            <w:r w:rsidR="00C77024" w:rsidRPr="00B857C4">
                              <w:rPr>
                                <w:lang w:eastAsia="en-IN"/>
                              </w:rPr>
                              <w:t>ince previous day close</w:t>
                            </w:r>
                            <w:r w:rsidR="00E246BE" w:rsidRPr="00E246BE">
                              <w:t>.</w:t>
                            </w:r>
                            <w:r w:rsidR="006959C3">
                              <w:t xml:space="preserve"> </w:t>
                            </w:r>
                            <w:r w:rsidR="00060148" w:rsidRPr="00060148">
                              <w:t>Over the past few weeks, Barclays strategists have grown more optimistic about the possibility of a U.S. soft landing, mostly because of China's unanticipated stimulus measures and the Federal Reserve's recent 50 basis point rate decrease</w:t>
                            </w:r>
                            <w:r w:rsidR="00060148">
                              <w:t xml:space="preserve">. </w:t>
                            </w:r>
                            <w:r w:rsidR="00142257" w:rsidRPr="00142257">
                              <w:t>Today's NFP report is anticipated to be very important.</w:t>
                            </w:r>
                            <w:r w:rsidR="00142257">
                              <w:t xml:space="preserve"> t</w:t>
                            </w:r>
                            <w:r w:rsidR="00060148" w:rsidRPr="00060148">
                              <w:t>he daily chart shows that the pairs traded above the 50-day moving average, indicating that the uptrend is likely to continue. 19923 is the closest resistance.</w:t>
                            </w:r>
                          </w:p>
                          <w:p w14:paraId="483CD534" w14:textId="7998F3AD"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B31032">
                              <w:rPr>
                                <w:b/>
                                <w:color w:val="2C67B1"/>
                              </w:rPr>
                              <w:t>19923-20375</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715837">
                              <w:rPr>
                                <w:b/>
                                <w:color w:val="2C67B1"/>
                              </w:rPr>
                              <w:t>19770</w:t>
                            </w:r>
                          </w:p>
                          <w:p w14:paraId="48754EA9" w14:textId="4831A925"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B31032">
                              <w:rPr>
                                <w:b/>
                                <w:color w:val="2C67B1"/>
                                <w:spacing w:val="-4"/>
                              </w:rPr>
                              <w:t>19589-19256</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142257" w:rsidRPr="00EE700E">
                              <w:rPr>
                                <w:b/>
                                <w:bCs/>
                                <w:color w:val="00B050"/>
                              </w:rPr>
                              <w:t>Bullish</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24B734D3" w:rsidR="007F4111" w:rsidRPr="006A74FA" w:rsidRDefault="00F74BC1" w:rsidP="007F4111">
                      <w:pPr>
                        <w:rPr>
                          <w:b/>
                          <w:bCs/>
                        </w:rPr>
                      </w:pPr>
                      <w:r>
                        <w:rPr>
                          <w:b/>
                          <w:bCs/>
                        </w:rPr>
                        <w:t>US</w:t>
                      </w:r>
                      <w:r w:rsidR="007A4523">
                        <w:rPr>
                          <w:b/>
                          <w:bCs/>
                        </w:rPr>
                        <w:t>10</w:t>
                      </w:r>
                      <w:r w:rsidR="0019062E">
                        <w:rPr>
                          <w:b/>
                          <w:bCs/>
                        </w:rPr>
                        <w:t xml:space="preserve">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715837">
                        <w:rPr>
                          <w:sz w:val="20"/>
                          <w:szCs w:val="20"/>
                        </w:rPr>
                        <w:t>19821</w:t>
                      </w:r>
                    </w:p>
                    <w:p w14:paraId="256A8522" w14:textId="4B3313EF" w:rsidR="00E8105F" w:rsidRDefault="00F74BC1" w:rsidP="00703D60">
                      <w:pPr>
                        <w:jc w:val="both"/>
                      </w:pPr>
                      <w:r>
                        <w:rPr>
                          <w:lang w:eastAsia="en-IN"/>
                        </w:rPr>
                        <w:t>US</w:t>
                      </w:r>
                      <w:r w:rsidR="007A4523">
                        <w:rPr>
                          <w:lang w:eastAsia="en-IN"/>
                        </w:rPr>
                        <w:t>10</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715837">
                        <w:rPr>
                          <w:lang w:eastAsia="en-IN"/>
                        </w:rPr>
                        <w:t>19821, 0.24%</w:t>
                      </w:r>
                      <w:r w:rsidR="00FD0550">
                        <w:rPr>
                          <w:lang w:eastAsia="en-IN"/>
                        </w:rPr>
                        <w:t xml:space="preserve"> </w:t>
                      </w:r>
                      <w:r w:rsidR="00715837">
                        <w:rPr>
                          <w:lang w:eastAsia="en-IN"/>
                        </w:rPr>
                        <w:t>up</w:t>
                      </w:r>
                      <w:r w:rsidR="00C77024">
                        <w:rPr>
                          <w:lang w:eastAsia="en-IN"/>
                        </w:rPr>
                        <w:t xml:space="preserve"> s</w:t>
                      </w:r>
                      <w:r w:rsidR="00C77024" w:rsidRPr="00B857C4">
                        <w:rPr>
                          <w:lang w:eastAsia="en-IN"/>
                        </w:rPr>
                        <w:t>ince previous day close</w:t>
                      </w:r>
                      <w:r w:rsidR="00E246BE" w:rsidRPr="00E246BE">
                        <w:t>.</w:t>
                      </w:r>
                      <w:r w:rsidR="006959C3">
                        <w:t xml:space="preserve"> </w:t>
                      </w:r>
                      <w:r w:rsidR="00060148" w:rsidRPr="00060148">
                        <w:t>Over the past few weeks, Barclays strategists have grown more optimistic about the possibility of a U.S. soft landing, mostly because of China's unanticipated stimulus measures and the Federal Reserve's recent 50 basis point rate decrease</w:t>
                      </w:r>
                      <w:r w:rsidR="00060148">
                        <w:t xml:space="preserve">. </w:t>
                      </w:r>
                      <w:r w:rsidR="00142257" w:rsidRPr="00142257">
                        <w:t>Today's NFP report is anticipated to be very important.</w:t>
                      </w:r>
                      <w:r w:rsidR="00142257">
                        <w:t xml:space="preserve"> t</w:t>
                      </w:r>
                      <w:r w:rsidR="00060148" w:rsidRPr="00060148">
                        <w:t>he daily chart shows that the pairs traded above the 50-day moving average, indicating that the uptrend is likely to continue. 19923 is the closest resistance.</w:t>
                      </w:r>
                    </w:p>
                    <w:p w14:paraId="483CD534" w14:textId="7998F3AD"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B31032">
                        <w:rPr>
                          <w:b/>
                          <w:color w:val="2C67B1"/>
                        </w:rPr>
                        <w:t>19923-20375</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715837">
                        <w:rPr>
                          <w:b/>
                          <w:color w:val="2C67B1"/>
                        </w:rPr>
                        <w:t>19770</w:t>
                      </w:r>
                    </w:p>
                    <w:p w14:paraId="48754EA9" w14:textId="4831A925"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B31032">
                        <w:rPr>
                          <w:b/>
                          <w:color w:val="2C67B1"/>
                          <w:spacing w:val="-4"/>
                        </w:rPr>
                        <w:t>19589-19256</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142257" w:rsidRPr="00EE700E">
                        <w:rPr>
                          <w:b/>
                          <w:bCs/>
                          <w:color w:val="00B050"/>
                        </w:rPr>
                        <w:t>Bullish</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4A425574" w:rsidR="00293709" w:rsidRDefault="00B31032" w:rsidP="00293709">
                            <w:r>
                              <w:rPr>
                                <w:noProof/>
                              </w:rPr>
                              <w:drawing>
                                <wp:inline distT="0" distB="0" distL="0" distR="0" wp14:anchorId="6DD50CCB" wp14:editId="7C9B6A65">
                                  <wp:extent cx="3087370" cy="2647665"/>
                                  <wp:effectExtent l="0" t="0" r="0" b="635"/>
                                  <wp:docPr id="51999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90204" name=""/>
                                          <pic:cNvPicPr/>
                                        </pic:nvPicPr>
                                        <pic:blipFill>
                                          <a:blip r:embed="rId10"/>
                                          <a:stretch>
                                            <a:fillRect/>
                                          </a:stretch>
                                        </pic:blipFill>
                                        <pic:spPr>
                                          <a:xfrm>
                                            <a:off x="0" y="0"/>
                                            <a:ext cx="3095565" cy="26546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4A425574" w:rsidR="00293709" w:rsidRDefault="00B31032" w:rsidP="00293709">
                      <w:r>
                        <w:rPr>
                          <w:noProof/>
                        </w:rPr>
                        <w:drawing>
                          <wp:inline distT="0" distB="0" distL="0" distR="0" wp14:anchorId="6DD50CCB" wp14:editId="7C9B6A65">
                            <wp:extent cx="3087370" cy="2647665"/>
                            <wp:effectExtent l="0" t="0" r="0" b="635"/>
                            <wp:docPr id="51999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90204" name=""/>
                                    <pic:cNvPicPr/>
                                  </pic:nvPicPr>
                                  <pic:blipFill>
                                    <a:blip r:embed="rId10"/>
                                    <a:stretch>
                                      <a:fillRect/>
                                    </a:stretch>
                                  </pic:blipFill>
                                  <pic:spPr>
                                    <a:xfrm>
                                      <a:off x="0" y="0"/>
                                      <a:ext cx="3095565" cy="2654693"/>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33CE3303" w:rsidR="00021465" w:rsidRDefault="00B31032" w:rsidP="00021465">
                            <w:r>
                              <w:rPr>
                                <w:noProof/>
                              </w:rPr>
                              <w:drawing>
                                <wp:inline distT="0" distB="0" distL="0" distR="0" wp14:anchorId="0887C612" wp14:editId="168BCD74">
                                  <wp:extent cx="3087370" cy="2668137"/>
                                  <wp:effectExtent l="0" t="0" r="0" b="0"/>
                                  <wp:docPr id="5408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4056" name=""/>
                                          <pic:cNvPicPr/>
                                        </pic:nvPicPr>
                                        <pic:blipFill>
                                          <a:blip r:embed="rId11"/>
                                          <a:stretch>
                                            <a:fillRect/>
                                          </a:stretch>
                                        </pic:blipFill>
                                        <pic:spPr>
                                          <a:xfrm>
                                            <a:off x="0" y="0"/>
                                            <a:ext cx="3093959" cy="26738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33CE3303" w:rsidR="00021465" w:rsidRDefault="00B31032" w:rsidP="00021465">
                      <w:r>
                        <w:rPr>
                          <w:noProof/>
                        </w:rPr>
                        <w:drawing>
                          <wp:inline distT="0" distB="0" distL="0" distR="0" wp14:anchorId="0887C612" wp14:editId="168BCD74">
                            <wp:extent cx="3087370" cy="2668137"/>
                            <wp:effectExtent l="0" t="0" r="0" b="0"/>
                            <wp:docPr id="5408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4056" name=""/>
                                    <pic:cNvPicPr/>
                                  </pic:nvPicPr>
                                  <pic:blipFill>
                                    <a:blip r:embed="rId11"/>
                                    <a:stretch>
                                      <a:fillRect/>
                                    </a:stretch>
                                  </pic:blipFill>
                                  <pic:spPr>
                                    <a:xfrm>
                                      <a:off x="0" y="0"/>
                                      <a:ext cx="3093959" cy="2673831"/>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429E0B04" w:rsidR="00602640" w:rsidRPr="00576963" w:rsidRDefault="00B31032" w:rsidP="00602640">
                            <w:pPr>
                              <w:rPr>
                                <w:lang w:val="en-US"/>
                              </w:rPr>
                            </w:pPr>
                            <w:r>
                              <w:rPr>
                                <w:noProof/>
                              </w:rPr>
                              <w:drawing>
                                <wp:inline distT="0" distB="0" distL="0" distR="0" wp14:anchorId="44196016" wp14:editId="7EE6F03C">
                                  <wp:extent cx="3087370" cy="2647665"/>
                                  <wp:effectExtent l="0" t="0" r="0" b="635"/>
                                  <wp:docPr id="1464042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42592" name=""/>
                                          <pic:cNvPicPr/>
                                        </pic:nvPicPr>
                                        <pic:blipFill>
                                          <a:blip r:embed="rId12"/>
                                          <a:stretch>
                                            <a:fillRect/>
                                          </a:stretch>
                                        </pic:blipFill>
                                        <pic:spPr>
                                          <a:xfrm>
                                            <a:off x="0" y="0"/>
                                            <a:ext cx="3099121" cy="26577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429E0B04" w:rsidR="00602640" w:rsidRPr="00576963" w:rsidRDefault="00B31032" w:rsidP="00602640">
                      <w:pPr>
                        <w:rPr>
                          <w:lang w:val="en-US"/>
                        </w:rPr>
                      </w:pPr>
                      <w:r>
                        <w:rPr>
                          <w:noProof/>
                        </w:rPr>
                        <w:drawing>
                          <wp:inline distT="0" distB="0" distL="0" distR="0" wp14:anchorId="44196016" wp14:editId="7EE6F03C">
                            <wp:extent cx="3087370" cy="2647665"/>
                            <wp:effectExtent l="0" t="0" r="0" b="635"/>
                            <wp:docPr id="1464042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42592" name=""/>
                                    <pic:cNvPicPr/>
                                  </pic:nvPicPr>
                                  <pic:blipFill>
                                    <a:blip r:embed="rId12"/>
                                    <a:stretch>
                                      <a:fillRect/>
                                    </a:stretch>
                                  </pic:blipFill>
                                  <pic:spPr>
                                    <a:xfrm>
                                      <a:off x="0" y="0"/>
                                      <a:ext cx="3099121" cy="2657742"/>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0718F408"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FD0550">
                              <w:t>9</w:t>
                            </w:r>
                            <w:r w:rsidR="00715837">
                              <w:t>013</w:t>
                            </w:r>
                          </w:p>
                          <w:p w14:paraId="52A05993" w14:textId="4E56A1E3"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A87D57">
                              <w:t>0</w:t>
                            </w:r>
                            <w:r w:rsidR="00715837">
                              <w:t>13, 0.06%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060148" w:rsidRPr="00060148">
                              <w:t>With traders awaiting the much-anticipated US employment report and Middle East tensions continuing to weigh, the DAX was little changed on Friday and mirroring the overall cautious tone among its European rivals. The STOXX 600 throughout Europe increased by 0.2%. Many ECB officials are expected to give speeches, which investors will be watching. Technically speaking, the RSI touches 42, indicating a neutral trend. The nearest help number is 18853.</w:t>
                            </w:r>
                          </w:p>
                          <w:p w14:paraId="4F1D8D6E" w14:textId="70F5ECCE"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B31032">
                              <w:rPr>
                                <w:b/>
                                <w:color w:val="2C67B1"/>
                              </w:rPr>
                              <w:t>278-19495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715837">
                              <w:rPr>
                                <w:b/>
                                <w:color w:val="2C67B1"/>
                              </w:rPr>
                              <w:t>158</w:t>
                            </w:r>
                          </w:p>
                          <w:p w14:paraId="5D29F7D3" w14:textId="42F4E63E"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B31032">
                              <w:rPr>
                                <w:b/>
                                <w:color w:val="2C67B1"/>
                              </w:rPr>
                              <w:t>853-18626</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142257" w:rsidRPr="00EE700E">
                              <w:rPr>
                                <w:b/>
                                <w:bCs/>
                                <w:color w:val="00B050"/>
                              </w:rPr>
                              <w:t>Bullish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0718F408"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FD0550">
                        <w:t>9</w:t>
                      </w:r>
                      <w:r w:rsidR="00715837">
                        <w:t>013</w:t>
                      </w:r>
                    </w:p>
                    <w:p w14:paraId="52A05993" w14:textId="4E56A1E3"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A87D57">
                        <w:t>0</w:t>
                      </w:r>
                      <w:r w:rsidR="00715837">
                        <w:t>13, 0.06%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060148" w:rsidRPr="00060148">
                        <w:t>With traders awaiting the much-anticipated US employment report and Middle East tensions continuing to weigh, the DAX was little changed on Friday and mirroring the overall cautious tone among its European rivals. The STOXX 600 throughout Europe increased by 0.2%. Many ECB officials are expected to give speeches, which investors will be watching. Technically speaking, the RSI touches 42, indicating a neutral trend. The nearest help number is 18853.</w:t>
                      </w:r>
                    </w:p>
                    <w:p w14:paraId="4F1D8D6E" w14:textId="70F5ECCE"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B31032">
                        <w:rPr>
                          <w:b/>
                          <w:color w:val="2C67B1"/>
                        </w:rPr>
                        <w:t>278-19495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715837">
                        <w:rPr>
                          <w:b/>
                          <w:color w:val="2C67B1"/>
                        </w:rPr>
                        <w:t>158</w:t>
                      </w:r>
                    </w:p>
                    <w:p w14:paraId="5D29F7D3" w14:textId="42F4E63E"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B31032">
                        <w:rPr>
                          <w:b/>
                          <w:color w:val="2C67B1"/>
                        </w:rPr>
                        <w:t>853-18626</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142257" w:rsidRPr="00EE700E">
                        <w:rPr>
                          <w:b/>
                          <w:bCs/>
                          <w:color w:val="00B050"/>
                        </w:rPr>
                        <w:t>Bullish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02D8A522"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715837">
                              <w:t>64</w:t>
                            </w:r>
                          </w:p>
                          <w:p w14:paraId="1FCFEAE4" w14:textId="44875564"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715837">
                              <w:t>64, 0.32%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1B2DCB" w:rsidRPr="001B2DCB">
                              <w:t>For the third day in a row, the gold price is continuing its consolidation period below the crucial 2,670 static barrier. The highly consequential US is anticipated by gold traders (NFP).  Fears grew as US President Biden on Thursday avoided outright denouncing Israel's possible attack on Iran, and markets are now intently following events in the Middle East. Gold is expected to trade positively and is now in a good state. the closest resistance is 2676</w:t>
                            </w:r>
                          </w:p>
                          <w:p w14:paraId="46746553" w14:textId="2A49E3E1"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B31032">
                              <w:rPr>
                                <w:b/>
                                <w:color w:val="2C67B1"/>
                              </w:rPr>
                              <w:t>76-2700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715837">
                              <w:rPr>
                                <w:b/>
                                <w:color w:val="2C67B1"/>
                                <w:spacing w:val="42"/>
                              </w:rPr>
                              <w:t>53</w:t>
                            </w:r>
                          </w:p>
                          <w:p w14:paraId="060A3AA0" w14:textId="1E166058"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B31032">
                              <w:rPr>
                                <w:b/>
                                <w:color w:val="2C67B1"/>
                              </w:rPr>
                              <w:t>21-2584</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142257" w:rsidRPr="00EE700E">
                              <w:rPr>
                                <w:b/>
                                <w:bCs/>
                                <w:color w:val="00B050"/>
                              </w:rPr>
                              <w:t>Bullish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02D8A522"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715837">
                        <w:t>64</w:t>
                      </w:r>
                    </w:p>
                    <w:p w14:paraId="1FCFEAE4" w14:textId="44875564"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715837">
                        <w:t>64, 0.32%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1B2DCB" w:rsidRPr="001B2DCB">
                        <w:t>For the third day in a row, the gold price is continuing its consolidation period below the crucial 2,670 static barrier. The highly consequential US is anticipated by gold traders (NFP).  Fears grew as US President Biden on Thursday avoided outright denouncing Israel's possible attack on Iran, and markets are now intently following events in the Middle East. Gold is expected to trade positively and is now in a good state. the closest resistance is 2676</w:t>
                      </w:r>
                    </w:p>
                    <w:p w14:paraId="46746553" w14:textId="2A49E3E1"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B31032">
                        <w:rPr>
                          <w:b/>
                          <w:color w:val="2C67B1"/>
                        </w:rPr>
                        <w:t>76-2700</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715837">
                        <w:rPr>
                          <w:b/>
                          <w:color w:val="2C67B1"/>
                          <w:spacing w:val="42"/>
                        </w:rPr>
                        <w:t>53</w:t>
                      </w:r>
                    </w:p>
                    <w:p w14:paraId="060A3AA0" w14:textId="1E166058"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B31032">
                        <w:rPr>
                          <w:b/>
                          <w:color w:val="2C67B1"/>
                        </w:rPr>
                        <w:t>21-2584</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142257" w:rsidRPr="00EE700E">
                        <w:rPr>
                          <w:b/>
                          <w:bCs/>
                          <w:color w:val="00B050"/>
                        </w:rPr>
                        <w:t>Bullish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585D62BD" w:rsidR="00EA0E45" w:rsidRDefault="006101FD"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715837">
                              <w:t>74.29</w:t>
                            </w:r>
                          </w:p>
                          <w:p w14:paraId="6B50EA83" w14:textId="75959E63" w:rsidR="00852505" w:rsidRPr="00852505" w:rsidRDefault="006101FD" w:rsidP="00852505">
                            <w:pPr>
                              <w:jc w:val="both"/>
                            </w:pPr>
                            <w:r>
                              <w:t>WTI</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87D57">
                              <w:t>7</w:t>
                            </w:r>
                            <w:r w:rsidR="00715837">
                              <w:t>4.29, 0.04%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1B2DCB" w:rsidRPr="001B2DCB">
                              <w:t>The price of oil is rising for the fourth day in a row, with Friday's Asian session seeing a price per barrel of almost 73.50. Growing tensions in the Middle East were causing markets to remain on edge, and oil prices were on track for their biggest weekly increase in almost a year. A major focus for investors was the U.S. nonfarm payrolls report. When the RSI hits 61, a bullish trend is indicated. 74.70 is the closest resistance.</w:t>
                            </w:r>
                          </w:p>
                          <w:p w14:paraId="4350C346" w14:textId="5A14C3FD"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A87D57">
                              <w:rPr>
                                <w:b/>
                                <w:color w:val="2C67B1"/>
                              </w:rPr>
                              <w:t>7</w:t>
                            </w:r>
                            <w:r w:rsidR="00B31032">
                              <w:rPr>
                                <w:b/>
                                <w:color w:val="2C67B1"/>
                              </w:rPr>
                              <w:t>4.70-77.25</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87D57">
                              <w:rPr>
                                <w:b/>
                                <w:color w:val="2C67B1"/>
                              </w:rPr>
                              <w:t>7</w:t>
                            </w:r>
                            <w:r w:rsidR="00715837">
                              <w:rPr>
                                <w:b/>
                                <w:color w:val="2C67B1"/>
                              </w:rPr>
                              <w:t>2.54</w:t>
                            </w:r>
                          </w:p>
                          <w:p w14:paraId="21131B61" w14:textId="5EF5A20B"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A87D57">
                              <w:rPr>
                                <w:b/>
                                <w:color w:val="2C67B1"/>
                              </w:rPr>
                              <w:t>70.</w:t>
                            </w:r>
                            <w:r w:rsidR="00B31032">
                              <w:rPr>
                                <w:b/>
                                <w:color w:val="2C67B1"/>
                              </w:rPr>
                              <w:t xml:space="preserve">99-68.06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585D62BD" w:rsidR="00EA0E45" w:rsidRDefault="006101FD" w:rsidP="00EA0E45">
                      <w:r>
                        <w:rPr>
                          <w:b/>
                          <w:bCs/>
                        </w:rPr>
                        <w:t xml:space="preserve">WTI     </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715837">
                        <w:t>74.29</w:t>
                      </w:r>
                    </w:p>
                    <w:p w14:paraId="6B50EA83" w14:textId="75959E63" w:rsidR="00852505" w:rsidRPr="00852505" w:rsidRDefault="006101FD" w:rsidP="00852505">
                      <w:pPr>
                        <w:jc w:val="both"/>
                      </w:pPr>
                      <w:r>
                        <w:t>WTI</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87D57">
                        <w:t>7</w:t>
                      </w:r>
                      <w:r w:rsidR="00715837">
                        <w:t>4.29, 0.04%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1B2DCB" w:rsidRPr="001B2DCB">
                        <w:t>The price of oil is rising for the fourth day in a row, with Friday's Asian session seeing a price per barrel of almost 73.50. Growing tensions in the Middle East were causing markets to remain on edge, and oil prices were on track for their biggest weekly increase in almost a year. A major focus for investors was the U.S. nonfarm payrolls report. When the RSI hits 61, a bullish trend is indicated. 74.70 is the closest resistance.</w:t>
                      </w:r>
                    </w:p>
                    <w:p w14:paraId="4350C346" w14:textId="5A14C3FD"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A87D57">
                        <w:rPr>
                          <w:b/>
                          <w:color w:val="2C67B1"/>
                        </w:rPr>
                        <w:t>7</w:t>
                      </w:r>
                      <w:r w:rsidR="00B31032">
                        <w:rPr>
                          <w:b/>
                          <w:color w:val="2C67B1"/>
                        </w:rPr>
                        <w:t>4.70-77.25</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87D57">
                        <w:rPr>
                          <w:b/>
                          <w:color w:val="2C67B1"/>
                        </w:rPr>
                        <w:t>7</w:t>
                      </w:r>
                      <w:r w:rsidR="00715837">
                        <w:rPr>
                          <w:b/>
                          <w:color w:val="2C67B1"/>
                        </w:rPr>
                        <w:t>2.54</w:t>
                      </w:r>
                    </w:p>
                    <w:p w14:paraId="21131B61" w14:textId="5EF5A20B"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A87D57">
                        <w:rPr>
                          <w:b/>
                          <w:color w:val="2C67B1"/>
                        </w:rPr>
                        <w:t>70.</w:t>
                      </w:r>
                      <w:r w:rsidR="00B31032">
                        <w:rPr>
                          <w:b/>
                          <w:color w:val="2C67B1"/>
                        </w:rPr>
                        <w:t xml:space="preserve">99-68.06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1E3B3914" w:rsidR="008605E9" w:rsidRDefault="00B31032" w:rsidP="002C37A2">
      <w:r>
        <w:rPr>
          <w:noProof/>
        </w:rPr>
        <w:lastRenderedPageBreak/>
        <w:drawing>
          <wp:inline distT="0" distB="0" distL="0" distR="0" wp14:anchorId="61097454" wp14:editId="4452F112">
            <wp:extent cx="6846570" cy="6093562"/>
            <wp:effectExtent l="0" t="0" r="0" b="2540"/>
            <wp:docPr id="19113430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43008" name="Picture 1911343008"/>
                    <pic:cNvPicPr/>
                  </pic:nvPicPr>
                  <pic:blipFill>
                    <a:blip r:embed="rId13">
                      <a:extLst>
                        <a:ext uri="{28A0092B-C50C-407E-A947-70E740481C1C}">
                          <a14:useLocalDpi xmlns:a14="http://schemas.microsoft.com/office/drawing/2010/main" val="0"/>
                        </a:ext>
                      </a:extLst>
                    </a:blip>
                    <a:stretch>
                      <a:fillRect/>
                    </a:stretch>
                  </pic:blipFill>
                  <pic:spPr>
                    <a:xfrm>
                      <a:off x="0" y="0"/>
                      <a:ext cx="6862927" cy="6108120"/>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EC228A" w:rsidP="00EC228A">
      <w:pPr>
        <w:pStyle w:val="NoSpacing"/>
        <w:jc w:val="center"/>
        <w:rPr>
          <w:color w:val="0000FF"/>
          <w:u w:val="single" w:color="0000FF"/>
          <w:lang w:val="en-US"/>
        </w:rPr>
      </w:pPr>
      <w:hyperlink r:id="rId14" w:history="1">
        <w:r w:rsidRPr="00205197">
          <w:rPr>
            <w:rStyle w:val="Hyperlink"/>
            <w:rFonts w:ascii="Calibri" w:eastAsia="Calibri" w:hAnsi="Calibri" w:cs="Calibri"/>
            <w:b/>
            <w:kern w:val="0"/>
            <w:lang w:val="en-US"/>
            <w14:ligatures w14:val="none"/>
          </w:rPr>
          <w:t>support@xflowm</w:t>
        </w:r>
        <w:r w:rsidRPr="009414DD">
          <w:rPr>
            <w:rStyle w:val="Hyperlink"/>
            <w:rFonts w:ascii="Calibri" w:eastAsia="Calibri" w:hAnsi="Calibri" w:cs="Calibri"/>
            <w:b/>
            <w:kern w:val="0"/>
            <w:lang w:val="en-US"/>
            <w14:ligatures w14:val="none"/>
          </w:rPr>
          <w:t>a</w:t>
        </w:r>
        <w:r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90E7" w14:textId="77777777" w:rsidR="0006547C" w:rsidRDefault="0006547C" w:rsidP="00EE752B">
      <w:pPr>
        <w:spacing w:after="0" w:line="240" w:lineRule="auto"/>
      </w:pPr>
      <w:r>
        <w:separator/>
      </w:r>
    </w:p>
  </w:endnote>
  <w:endnote w:type="continuationSeparator" w:id="0">
    <w:p w14:paraId="353D8428" w14:textId="77777777" w:rsidR="0006547C" w:rsidRDefault="0006547C" w:rsidP="00EE752B">
      <w:pPr>
        <w:spacing w:after="0" w:line="240" w:lineRule="auto"/>
      </w:pPr>
      <w:r>
        <w:continuationSeparator/>
      </w:r>
    </w:p>
  </w:endnote>
  <w:endnote w:type="continuationNotice" w:id="1">
    <w:p w14:paraId="6FF5337E" w14:textId="77777777" w:rsidR="0006547C" w:rsidRDefault="00065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4921846B"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7A4523">
                              <w:rPr>
                                <w:rFonts w:ascii="Arial MT"/>
                                <w:color w:val="FFFFFF"/>
                                <w:w w:val="80"/>
                                <w:sz w:val="52"/>
                              </w:rPr>
                              <w:t>4</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4921846B"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7A4523">
                        <w:rPr>
                          <w:rFonts w:ascii="Arial MT"/>
                          <w:color w:val="FFFFFF"/>
                          <w:w w:val="80"/>
                          <w:sz w:val="52"/>
                        </w:rPr>
                        <w:t>4</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D659C" w14:textId="77777777" w:rsidR="0006547C" w:rsidRDefault="0006547C" w:rsidP="00EE752B">
      <w:pPr>
        <w:spacing w:after="0" w:line="240" w:lineRule="auto"/>
      </w:pPr>
      <w:r>
        <w:separator/>
      </w:r>
    </w:p>
  </w:footnote>
  <w:footnote w:type="continuationSeparator" w:id="0">
    <w:p w14:paraId="77F5DFC4" w14:textId="77777777" w:rsidR="0006547C" w:rsidRDefault="0006547C" w:rsidP="00EE752B">
      <w:pPr>
        <w:spacing w:after="0" w:line="240" w:lineRule="auto"/>
      </w:pPr>
      <w:r>
        <w:continuationSeparator/>
      </w:r>
    </w:p>
  </w:footnote>
  <w:footnote w:type="continuationNotice" w:id="1">
    <w:p w14:paraId="5824FA27" w14:textId="77777777" w:rsidR="0006547C" w:rsidRDefault="00065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7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148"/>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547C"/>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257"/>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2E"/>
    <w:rsid w:val="00190643"/>
    <w:rsid w:val="00190C27"/>
    <w:rsid w:val="00190CAB"/>
    <w:rsid w:val="00192348"/>
    <w:rsid w:val="00192511"/>
    <w:rsid w:val="00192EEE"/>
    <w:rsid w:val="00194442"/>
    <w:rsid w:val="00194B59"/>
    <w:rsid w:val="00195002"/>
    <w:rsid w:val="00195AA4"/>
    <w:rsid w:val="0019627A"/>
    <w:rsid w:val="00196475"/>
    <w:rsid w:val="00196FAB"/>
    <w:rsid w:val="0019752B"/>
    <w:rsid w:val="00197A8E"/>
    <w:rsid w:val="00197C05"/>
    <w:rsid w:val="001A0CF5"/>
    <w:rsid w:val="001A0E70"/>
    <w:rsid w:val="001A0F02"/>
    <w:rsid w:val="001A1001"/>
    <w:rsid w:val="001A13C8"/>
    <w:rsid w:val="001A1D3F"/>
    <w:rsid w:val="001A1E43"/>
    <w:rsid w:val="001A2A0B"/>
    <w:rsid w:val="001A3057"/>
    <w:rsid w:val="001A3150"/>
    <w:rsid w:val="001A3B9E"/>
    <w:rsid w:val="001A3BAB"/>
    <w:rsid w:val="001A401A"/>
    <w:rsid w:val="001A40DB"/>
    <w:rsid w:val="001A41D2"/>
    <w:rsid w:val="001A4308"/>
    <w:rsid w:val="001A455B"/>
    <w:rsid w:val="001A4B4E"/>
    <w:rsid w:val="001A50D5"/>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2DCB"/>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0E8"/>
    <w:rsid w:val="0030453E"/>
    <w:rsid w:val="003047CE"/>
    <w:rsid w:val="00305395"/>
    <w:rsid w:val="0030587D"/>
    <w:rsid w:val="00305BA4"/>
    <w:rsid w:val="00305CB4"/>
    <w:rsid w:val="0030639A"/>
    <w:rsid w:val="003063B8"/>
    <w:rsid w:val="003074C7"/>
    <w:rsid w:val="00307D67"/>
    <w:rsid w:val="003104F6"/>
    <w:rsid w:val="003105D7"/>
    <w:rsid w:val="003108A3"/>
    <w:rsid w:val="00310C4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5AB2"/>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B13AC"/>
    <w:rsid w:val="003B2F57"/>
    <w:rsid w:val="003B367B"/>
    <w:rsid w:val="003B375B"/>
    <w:rsid w:val="003B3C0C"/>
    <w:rsid w:val="003B4754"/>
    <w:rsid w:val="003B4B50"/>
    <w:rsid w:val="003B60C9"/>
    <w:rsid w:val="003B6D72"/>
    <w:rsid w:val="003B764D"/>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3F6"/>
    <w:rsid w:val="00484021"/>
    <w:rsid w:val="00484433"/>
    <w:rsid w:val="00484ECA"/>
    <w:rsid w:val="00485189"/>
    <w:rsid w:val="00485EA7"/>
    <w:rsid w:val="004862FF"/>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64E0"/>
    <w:rsid w:val="004B72B5"/>
    <w:rsid w:val="004B7699"/>
    <w:rsid w:val="004C12E2"/>
    <w:rsid w:val="004C160F"/>
    <w:rsid w:val="004C1B42"/>
    <w:rsid w:val="004C20AE"/>
    <w:rsid w:val="004C3165"/>
    <w:rsid w:val="004C31D0"/>
    <w:rsid w:val="004C342E"/>
    <w:rsid w:val="004C3430"/>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88C"/>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0B44"/>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5581"/>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1FD"/>
    <w:rsid w:val="00610946"/>
    <w:rsid w:val="006115D4"/>
    <w:rsid w:val="00611AC2"/>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C28"/>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18AB"/>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3D60"/>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5837"/>
    <w:rsid w:val="00717296"/>
    <w:rsid w:val="00717FFB"/>
    <w:rsid w:val="00720D80"/>
    <w:rsid w:val="00720E0B"/>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51"/>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2E90"/>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523"/>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60FA"/>
    <w:rsid w:val="007E65A2"/>
    <w:rsid w:val="007E6720"/>
    <w:rsid w:val="007E7052"/>
    <w:rsid w:val="007E71E2"/>
    <w:rsid w:val="007E787D"/>
    <w:rsid w:val="007E7D63"/>
    <w:rsid w:val="007F0776"/>
    <w:rsid w:val="007F0DCD"/>
    <w:rsid w:val="007F19FB"/>
    <w:rsid w:val="007F25BE"/>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437"/>
    <w:rsid w:val="00816796"/>
    <w:rsid w:val="0081685B"/>
    <w:rsid w:val="00816CE7"/>
    <w:rsid w:val="00816D1F"/>
    <w:rsid w:val="00820260"/>
    <w:rsid w:val="00820647"/>
    <w:rsid w:val="00820EB1"/>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0AC2"/>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35A"/>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3A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0C0"/>
    <w:rsid w:val="0095314E"/>
    <w:rsid w:val="00954156"/>
    <w:rsid w:val="009543EF"/>
    <w:rsid w:val="009548C4"/>
    <w:rsid w:val="00954E76"/>
    <w:rsid w:val="00956660"/>
    <w:rsid w:val="009572DB"/>
    <w:rsid w:val="00957375"/>
    <w:rsid w:val="00957403"/>
    <w:rsid w:val="009600D7"/>
    <w:rsid w:val="009601FA"/>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934"/>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1AB"/>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E7A9F"/>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0F9D"/>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8C4"/>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D57"/>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4918"/>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103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665"/>
    <w:rsid w:val="00C12B51"/>
    <w:rsid w:val="00C148B7"/>
    <w:rsid w:val="00C15B7B"/>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310"/>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5B71"/>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43"/>
    <w:rsid w:val="00D5084D"/>
    <w:rsid w:val="00D50A46"/>
    <w:rsid w:val="00D51077"/>
    <w:rsid w:val="00D521C8"/>
    <w:rsid w:val="00D52BD5"/>
    <w:rsid w:val="00D52BEA"/>
    <w:rsid w:val="00D53E40"/>
    <w:rsid w:val="00D54CAA"/>
    <w:rsid w:val="00D5519F"/>
    <w:rsid w:val="00D56393"/>
    <w:rsid w:val="00D57057"/>
    <w:rsid w:val="00D571CD"/>
    <w:rsid w:val="00D571E1"/>
    <w:rsid w:val="00D57802"/>
    <w:rsid w:val="00D5784D"/>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D7E"/>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6EF1"/>
    <w:rsid w:val="00DD75A5"/>
    <w:rsid w:val="00DD78AA"/>
    <w:rsid w:val="00DD7B91"/>
    <w:rsid w:val="00DE09F2"/>
    <w:rsid w:val="00DE0A1B"/>
    <w:rsid w:val="00DE1A2D"/>
    <w:rsid w:val="00DE290A"/>
    <w:rsid w:val="00DE2CD4"/>
    <w:rsid w:val="00DE3027"/>
    <w:rsid w:val="00DE3151"/>
    <w:rsid w:val="00DE3615"/>
    <w:rsid w:val="00DE451B"/>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248E"/>
    <w:rsid w:val="00EB3654"/>
    <w:rsid w:val="00EB3C65"/>
    <w:rsid w:val="00EB4A06"/>
    <w:rsid w:val="00EB4B2C"/>
    <w:rsid w:val="00EB5520"/>
    <w:rsid w:val="00EB5783"/>
    <w:rsid w:val="00EB6D48"/>
    <w:rsid w:val="00EC0058"/>
    <w:rsid w:val="00EC0112"/>
    <w:rsid w:val="00EC0270"/>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37A"/>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9F9"/>
    <w:rsid w:val="00F20DC4"/>
    <w:rsid w:val="00F20F2B"/>
    <w:rsid w:val="00F21418"/>
    <w:rsid w:val="00F215B7"/>
    <w:rsid w:val="00F217A7"/>
    <w:rsid w:val="00F217C4"/>
    <w:rsid w:val="00F21D87"/>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7016C"/>
    <w:rsid w:val="00F72CAA"/>
    <w:rsid w:val="00F730DC"/>
    <w:rsid w:val="00F73893"/>
    <w:rsid w:val="00F73920"/>
    <w:rsid w:val="00F74257"/>
    <w:rsid w:val="00F746B4"/>
    <w:rsid w:val="00F74711"/>
    <w:rsid w:val="00F74BC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3AC3"/>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2C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FD9"/>
    <w:rsid w:val="00FC6031"/>
    <w:rsid w:val="00FC6B27"/>
    <w:rsid w:val="00FC71CD"/>
    <w:rsid w:val="00FC7214"/>
    <w:rsid w:val="00FC7505"/>
    <w:rsid w:val="00FC7579"/>
    <w:rsid w:val="00FC77CC"/>
    <w:rsid w:val="00FC7A63"/>
    <w:rsid w:val="00FD0550"/>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2024-10-04T09:30:00Z</dcterms:created>
  <dcterms:modified xsi:type="dcterms:W3CDTF">2024-10-04T09:30:00Z</dcterms:modified>
</cp:coreProperties>
</file>